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1630E" w14:textId="19126FC7" w:rsidR="006E015D" w:rsidRPr="006E015D" w:rsidRDefault="006E015D" w:rsidP="006E015D">
      <w:pPr>
        <w:shd w:val="clear" w:color="auto" w:fill="FFFFFF"/>
        <w:spacing w:after="120" w:line="615" w:lineRule="atLeast"/>
        <w:textAlignment w:val="baseline"/>
        <w:outlineLvl w:val="0"/>
        <w:rPr>
          <w:rFonts w:ascii="Arial" w:eastAsia="Times New Roman" w:hAnsi="Arial" w:cs="Arial"/>
          <w:b/>
          <w:bCs/>
          <w:color w:val="232323"/>
          <w:kern w:val="36"/>
          <w:sz w:val="51"/>
          <w:szCs w:val="51"/>
          <w:lang w:eastAsia="fr-FR"/>
        </w:rPr>
      </w:pPr>
      <w:r>
        <w:rPr>
          <w:rFonts w:ascii="Arial" w:eastAsia="Times New Roman" w:hAnsi="Arial" w:cs="Arial"/>
          <w:b/>
          <w:bCs/>
          <w:color w:val="232323"/>
          <w:kern w:val="36"/>
          <w:sz w:val="51"/>
          <w:szCs w:val="51"/>
          <w:lang w:eastAsia="fr-FR"/>
        </w:rPr>
        <w:t>T</w:t>
      </w:r>
      <w:r w:rsidRPr="006E015D">
        <w:rPr>
          <w:rFonts w:ascii="Arial" w:eastAsia="Times New Roman" w:hAnsi="Arial" w:cs="Arial"/>
          <w:b/>
          <w:bCs/>
          <w:color w:val="232323"/>
          <w:kern w:val="36"/>
          <w:sz w:val="51"/>
          <w:szCs w:val="51"/>
          <w:lang w:eastAsia="fr-FR"/>
        </w:rPr>
        <w:t>ravail au noir sur le chantier de l'EPR : Bouygues devra verser plus de 2 millions d'euros au Trésor public</w:t>
      </w:r>
    </w:p>
    <w:p w14:paraId="0081F22C" w14:textId="77777777" w:rsidR="006E015D" w:rsidRPr="006E015D" w:rsidRDefault="006E015D" w:rsidP="006E015D">
      <w:pPr>
        <w:shd w:val="clear" w:color="auto" w:fill="FFFFFF"/>
        <w:spacing w:line="450" w:lineRule="atLeast"/>
        <w:rPr>
          <w:rFonts w:ascii="Arial" w:eastAsia="Times New Roman" w:hAnsi="Arial" w:cs="Arial"/>
          <w:color w:val="232323"/>
          <w:sz w:val="36"/>
          <w:szCs w:val="36"/>
          <w:lang w:eastAsia="fr-FR"/>
        </w:rPr>
      </w:pPr>
      <w:r w:rsidRPr="006E015D">
        <w:rPr>
          <w:rFonts w:ascii="Arial" w:eastAsia="Times New Roman" w:hAnsi="Arial" w:cs="Arial"/>
          <w:color w:val="232323"/>
          <w:sz w:val="36"/>
          <w:szCs w:val="36"/>
          <w:lang w:eastAsia="fr-FR"/>
        </w:rPr>
        <w:t>Le groupe de BTP était poursuivi pour avoir employé, via un sous-traitant, des salariés au noir entre 2009 et 2011 sur le chantier de l'EPR à Flamanville. Le ministère de l'Economie lui réclame 2.163.925 euros.</w:t>
      </w:r>
    </w:p>
    <w:p w14:paraId="14342C9F" w14:textId="77777777" w:rsidR="006E015D" w:rsidRPr="006E015D" w:rsidRDefault="006E015D" w:rsidP="006E015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fr-FR"/>
        </w:rPr>
      </w:pPr>
      <w:r w:rsidRPr="006E015D">
        <w:rPr>
          <w:rFonts w:ascii="Times New Roman" w:eastAsia="Times New Roman" w:hAnsi="Times New Roman" w:cs="Times New Roman"/>
          <w:color w:val="232323"/>
          <w:sz w:val="24"/>
          <w:szCs w:val="24"/>
          <w:lang w:eastAsia="fr-FR"/>
        </w:rPr>
        <w:t>Publié le 28/10/2021 à 10h02 • Mis à jour le 28/10/2021 à 16h31</w:t>
      </w:r>
    </w:p>
    <w:p w14:paraId="30A090CD" w14:textId="6C841761" w:rsidR="006E015D" w:rsidRPr="006E015D" w:rsidRDefault="006E015D" w:rsidP="006E01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fr-FR"/>
        </w:rPr>
      </w:pPr>
      <w:r w:rsidRPr="006E015D">
        <w:rPr>
          <w:rFonts w:ascii="Times New Roman" w:eastAsia="Times New Roman" w:hAnsi="Times New Roman" w:cs="Times New Roman"/>
          <w:noProof/>
          <w:color w:val="232323"/>
          <w:sz w:val="24"/>
          <w:szCs w:val="24"/>
          <w:lang w:eastAsia="fr-FR"/>
        </w:rPr>
        <w:drawing>
          <wp:inline distT="0" distB="0" distL="0" distR="0" wp14:anchorId="09F3E914" wp14:editId="20976ED8">
            <wp:extent cx="5760720" cy="3846830"/>
            <wp:effectExtent l="0" t="0" r="0" b="1270"/>
            <wp:docPr id="1" name="Image 1" descr="Le chantier de l'EPR de Flamanville en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 chantier de l'EPR de Flamanville en 20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FE0EE" w14:textId="77777777" w:rsidR="006E015D" w:rsidRPr="006E015D" w:rsidRDefault="006E015D" w:rsidP="006E015D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232323"/>
          <w:sz w:val="21"/>
          <w:szCs w:val="21"/>
          <w:lang w:eastAsia="fr-FR"/>
        </w:rPr>
      </w:pPr>
      <w:r w:rsidRPr="006E015D">
        <w:rPr>
          <w:rFonts w:ascii="Arial" w:eastAsia="Times New Roman" w:hAnsi="Arial" w:cs="Arial"/>
          <w:color w:val="232323"/>
          <w:sz w:val="21"/>
          <w:szCs w:val="21"/>
          <w:lang w:eastAsia="fr-FR"/>
        </w:rPr>
        <w:t xml:space="preserve">Le chantier de l'EPR de Flamanville en 2011 • © AFP/Kenzo </w:t>
      </w:r>
      <w:proofErr w:type="spellStart"/>
      <w:r w:rsidRPr="006E015D">
        <w:rPr>
          <w:rFonts w:ascii="Arial" w:eastAsia="Times New Roman" w:hAnsi="Arial" w:cs="Arial"/>
          <w:color w:val="232323"/>
          <w:sz w:val="21"/>
          <w:szCs w:val="21"/>
          <w:lang w:eastAsia="fr-FR"/>
        </w:rPr>
        <w:t>Tribouillard</w:t>
      </w:r>
      <w:proofErr w:type="spellEnd"/>
    </w:p>
    <w:p w14:paraId="19C4BB21" w14:textId="77777777" w:rsidR="006E015D" w:rsidRPr="006E015D" w:rsidRDefault="006E015D" w:rsidP="006E015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fr-FR"/>
        </w:rPr>
      </w:pPr>
      <w:hyperlink r:id="rId5" w:history="1">
        <w:r w:rsidRPr="006E015D">
          <w:rPr>
            <w:rFonts w:ascii="Arial" w:eastAsia="Times New Roman" w:hAnsi="Arial" w:cs="Arial"/>
            <w:color w:val="0000FF"/>
            <w:sz w:val="18"/>
            <w:szCs w:val="18"/>
            <w:u w:val="single"/>
            <w:bdr w:val="none" w:sz="0" w:space="0" w:color="auto" w:frame="1"/>
            <w:shd w:val="clear" w:color="auto" w:fill="FFFFFF"/>
            <w:lang w:eastAsia="fr-FR"/>
          </w:rPr>
          <w:t>Manche</w:t>
        </w:r>
      </w:hyperlink>
      <w:r w:rsidRPr="006E015D">
        <w:rPr>
          <w:rFonts w:ascii="Times New Roman" w:eastAsia="Times New Roman" w:hAnsi="Times New Roman" w:cs="Times New Roman"/>
          <w:color w:val="232323"/>
          <w:sz w:val="24"/>
          <w:szCs w:val="24"/>
          <w:lang w:eastAsia="fr-FR"/>
        </w:rPr>
        <w:t> </w:t>
      </w:r>
      <w:hyperlink r:id="rId6" w:history="1">
        <w:r w:rsidRPr="006E015D">
          <w:rPr>
            <w:rFonts w:ascii="Arial" w:eastAsia="Times New Roman" w:hAnsi="Arial" w:cs="Arial"/>
            <w:color w:val="0000FF"/>
            <w:sz w:val="18"/>
            <w:szCs w:val="18"/>
            <w:u w:val="single"/>
            <w:bdr w:val="none" w:sz="0" w:space="0" w:color="auto" w:frame="1"/>
            <w:shd w:val="clear" w:color="auto" w:fill="FFFFFF"/>
            <w:lang w:eastAsia="fr-FR"/>
          </w:rPr>
          <w:t>Flamanville</w:t>
        </w:r>
      </w:hyperlink>
    </w:p>
    <w:p w14:paraId="2B4BA6B6" w14:textId="77777777" w:rsidR="006E015D" w:rsidRPr="006E015D" w:rsidRDefault="006E015D" w:rsidP="006E015D">
      <w:pPr>
        <w:shd w:val="clear" w:color="auto" w:fill="FFFFFF"/>
        <w:spacing w:after="0" w:line="420" w:lineRule="atLeast"/>
        <w:textAlignment w:val="baseline"/>
        <w:rPr>
          <w:rFonts w:ascii="Segoe UI" w:eastAsia="Times New Roman" w:hAnsi="Segoe UI" w:cs="Segoe UI"/>
          <w:sz w:val="27"/>
          <w:szCs w:val="27"/>
          <w:lang w:eastAsia="fr-FR"/>
        </w:rPr>
      </w:pPr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>Bouygues TP doit 2,1 millions d'euros au Trésor public à la suite d'</w:t>
      </w:r>
      <w:hyperlink r:id="rId7" w:history="1">
        <w:r w:rsidRPr="006E015D">
          <w:rPr>
            <w:rFonts w:ascii="Segoe UI" w:eastAsia="Times New Roman" w:hAnsi="Segoe UI" w:cs="Segoe UI"/>
            <w:color w:val="0000FF"/>
            <w:sz w:val="27"/>
            <w:szCs w:val="27"/>
            <w:u w:val="single"/>
            <w:bdr w:val="none" w:sz="0" w:space="0" w:color="auto" w:frame="1"/>
            <w:lang w:eastAsia="fr-FR"/>
          </w:rPr>
          <w:t>une affaire de travail dissimulé sur le chantier du réacteur nucléaire EPR de Flamanville</w:t>
        </w:r>
      </w:hyperlink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>, a-t-on appris ce mercredi 27 octobre auprès de la cour administrative d'appel (CAA) de Nantes. "</w:t>
      </w:r>
      <w:r w:rsidRPr="006E015D">
        <w:rPr>
          <w:rFonts w:ascii="Segoe UI" w:eastAsia="Times New Roman" w:hAnsi="Segoe UI" w:cs="Segoe UI"/>
          <w:i/>
          <w:iCs/>
          <w:sz w:val="27"/>
          <w:szCs w:val="27"/>
          <w:lang w:eastAsia="fr-FR"/>
        </w:rPr>
        <w:t>La somme de 2.163.925 euros est remise à la charge de la SA Bouygues TP</w:t>
      </w:r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 xml:space="preserve">", écrit la cour dans un arrêt du 9 </w:t>
      </w:r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lastRenderedPageBreak/>
        <w:t>septembre, infirmant un jugement du tribunal administratif de Caen. "</w:t>
      </w:r>
      <w:r w:rsidRPr="006E015D">
        <w:rPr>
          <w:rFonts w:ascii="Segoe UI" w:eastAsia="Times New Roman" w:hAnsi="Segoe UI" w:cs="Segoe UI"/>
          <w:i/>
          <w:iCs/>
          <w:sz w:val="27"/>
          <w:szCs w:val="27"/>
          <w:lang w:eastAsia="fr-FR"/>
        </w:rPr>
        <w:t>Le ministre de l'Economie (...) est fondé à soutenir que c'est à tort que, par le jugement attaqué, le tribunal administratif de Caen a prononcé la décharge des impositions en litige</w:t>
      </w:r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>", ajoutent les juges.</w:t>
      </w:r>
    </w:p>
    <w:p w14:paraId="10475B6A" w14:textId="689895C4" w:rsidR="006E015D" w:rsidRPr="006E015D" w:rsidRDefault="006E015D" w:rsidP="006E015D">
      <w:pPr>
        <w:shd w:val="clear" w:color="auto" w:fill="FFFFFF"/>
        <w:spacing w:after="435" w:line="420" w:lineRule="atLeast"/>
        <w:textAlignment w:val="baseline"/>
        <w:rPr>
          <w:rFonts w:ascii="Segoe UI" w:eastAsia="Times New Roman" w:hAnsi="Segoe UI" w:cs="Segoe UI"/>
          <w:color w:val="FF0000"/>
          <w:sz w:val="27"/>
          <w:szCs w:val="27"/>
          <w:lang w:eastAsia="fr-FR"/>
        </w:rPr>
      </w:pPr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>Bercy réclame ce montant à la suite du travail dissimulé de "</w:t>
      </w:r>
      <w:r w:rsidRPr="006E015D">
        <w:rPr>
          <w:rFonts w:ascii="Segoe UI" w:eastAsia="Times New Roman" w:hAnsi="Segoe UI" w:cs="Segoe UI"/>
          <w:i/>
          <w:iCs/>
          <w:sz w:val="27"/>
          <w:szCs w:val="27"/>
          <w:lang w:eastAsia="fr-FR"/>
        </w:rPr>
        <w:t>travailleurs, essentiellement polonais</w:t>
      </w:r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 xml:space="preserve">" intervenus du 16 septembre 2009 au week-end du 25-26 juin 2011 sur ce vaste chantier, rappelle la cour. Ces 163 salariés étaient employés par la société </w:t>
      </w:r>
      <w:proofErr w:type="spellStart"/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>Atlanco</w:t>
      </w:r>
      <w:proofErr w:type="spellEnd"/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 xml:space="preserve"> dont le siège était à Chypre et qui était un sous-traitant de Bouygues TP pour la construction du réacteur.</w:t>
      </w:r>
      <w:r w:rsidR="003D7CC5">
        <w:rPr>
          <w:rFonts w:ascii="Segoe UI" w:eastAsia="Times New Roman" w:hAnsi="Segoe UI" w:cs="Segoe UI"/>
          <w:sz w:val="27"/>
          <w:szCs w:val="27"/>
          <w:lang w:eastAsia="fr-FR"/>
        </w:rPr>
        <w:t xml:space="preserve"> </w:t>
      </w:r>
      <w:r w:rsidR="003D7CC5" w:rsidRPr="003D7CC5">
        <w:rPr>
          <w:rFonts w:ascii="Segoe UI" w:eastAsia="Times New Roman" w:hAnsi="Segoe UI" w:cs="Segoe UI"/>
          <w:color w:val="FF0000"/>
          <w:sz w:val="27"/>
          <w:szCs w:val="27"/>
          <w:lang w:eastAsia="fr-FR"/>
        </w:rPr>
        <w:t>(Entreprise irlandaise basée à Chypre, employant des polonais)</w:t>
      </w:r>
    </w:p>
    <w:p w14:paraId="1C8AB1B0" w14:textId="1B76DC8F" w:rsidR="006E015D" w:rsidRPr="006E015D" w:rsidRDefault="006E015D" w:rsidP="006E015D">
      <w:pPr>
        <w:shd w:val="clear" w:color="auto" w:fill="FFFFFF"/>
        <w:spacing w:after="0" w:line="420" w:lineRule="atLeast"/>
        <w:textAlignment w:val="baseline"/>
        <w:rPr>
          <w:rFonts w:ascii="Segoe UI" w:eastAsia="Times New Roman" w:hAnsi="Segoe UI" w:cs="Segoe UI"/>
          <w:sz w:val="27"/>
          <w:szCs w:val="27"/>
          <w:lang w:eastAsia="fr-FR"/>
        </w:rPr>
      </w:pPr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>En mars 2017, </w:t>
      </w:r>
      <w:hyperlink r:id="rId8" w:history="1">
        <w:r w:rsidRPr="006E015D">
          <w:rPr>
            <w:rFonts w:ascii="Segoe UI" w:eastAsia="Times New Roman" w:hAnsi="Segoe UI" w:cs="Segoe UI"/>
            <w:color w:val="0000FF"/>
            <w:sz w:val="27"/>
            <w:szCs w:val="27"/>
            <w:u w:val="single"/>
            <w:bdr w:val="none" w:sz="0" w:space="0" w:color="auto" w:frame="1"/>
            <w:lang w:eastAsia="fr-FR"/>
          </w:rPr>
          <w:t>la cour d'appel de Caen avait alourdi </w:t>
        </w:r>
      </w:hyperlink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>au pénal à 29.950 euros l'amende infligée à Bouygues TP dans cette affaire</w:t>
      </w:r>
      <w:r w:rsidR="003D7CC5">
        <w:rPr>
          <w:rFonts w:ascii="Segoe UI" w:eastAsia="Times New Roman" w:hAnsi="Segoe UI" w:cs="Segoe UI"/>
          <w:sz w:val="27"/>
          <w:szCs w:val="27"/>
          <w:lang w:eastAsia="fr-FR"/>
        </w:rPr>
        <w:t xml:space="preserve"> (</w:t>
      </w:r>
      <w:r w:rsidR="003D7CC5" w:rsidRPr="003D7CC5">
        <w:rPr>
          <w:rFonts w:ascii="Segoe UI" w:eastAsia="Times New Roman" w:hAnsi="Segoe UI" w:cs="Segoe UI"/>
          <w:color w:val="FF0000"/>
          <w:sz w:val="27"/>
          <w:szCs w:val="27"/>
          <w:lang w:eastAsia="fr-FR"/>
        </w:rPr>
        <w:t>une pichenette</w:t>
      </w:r>
      <w:r w:rsidR="003D7CC5">
        <w:rPr>
          <w:rFonts w:ascii="Segoe UI" w:eastAsia="Times New Roman" w:hAnsi="Segoe UI" w:cs="Segoe UI"/>
          <w:sz w:val="27"/>
          <w:szCs w:val="27"/>
          <w:lang w:eastAsia="fr-FR"/>
        </w:rPr>
        <w:t>).</w:t>
      </w:r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 xml:space="preserve"> Le géant du BTP avait été condamné en correctionnelle à Cherbourg en 2015. </w:t>
      </w:r>
    </w:p>
    <w:p w14:paraId="0FCF634D" w14:textId="77777777" w:rsidR="006E015D" w:rsidRPr="006E015D" w:rsidRDefault="006E015D" w:rsidP="006E015D">
      <w:pPr>
        <w:shd w:val="clear" w:color="auto" w:fill="FFFFFF"/>
        <w:spacing w:after="435" w:line="420" w:lineRule="atLeast"/>
        <w:textAlignment w:val="baseline"/>
        <w:rPr>
          <w:rFonts w:ascii="Segoe UI" w:eastAsia="Times New Roman" w:hAnsi="Segoe UI" w:cs="Segoe UI"/>
          <w:sz w:val="27"/>
          <w:szCs w:val="27"/>
          <w:lang w:eastAsia="fr-FR"/>
        </w:rPr>
      </w:pPr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>La CAA de Nantes se base sur une convention de 1981 entre Paris et Nicosie en vertu de laquelle "</w:t>
      </w:r>
      <w:r w:rsidRPr="006E015D">
        <w:rPr>
          <w:rFonts w:ascii="Segoe UI" w:eastAsia="Times New Roman" w:hAnsi="Segoe UI" w:cs="Segoe UI"/>
          <w:i/>
          <w:iCs/>
          <w:sz w:val="27"/>
          <w:szCs w:val="27"/>
          <w:lang w:eastAsia="fr-FR"/>
        </w:rPr>
        <w:t>les bénéfices d'une entreprise d'un État ne sont imposables que dans cet État, à moins que l'entreprise n'exerce son activité dans l'autre État par l'intermédiaire d'un établissement stable qui y est situé</w:t>
      </w:r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>". Or, "</w:t>
      </w:r>
      <w:proofErr w:type="spellStart"/>
      <w:r w:rsidRPr="006E015D">
        <w:rPr>
          <w:rFonts w:ascii="Segoe UI" w:eastAsia="Times New Roman" w:hAnsi="Segoe UI" w:cs="Segoe UI"/>
          <w:i/>
          <w:iCs/>
          <w:sz w:val="27"/>
          <w:szCs w:val="27"/>
          <w:lang w:eastAsia="fr-FR"/>
        </w:rPr>
        <w:t>Atlanco</w:t>
      </w:r>
      <w:proofErr w:type="spellEnd"/>
      <w:r w:rsidRPr="006E015D">
        <w:rPr>
          <w:rFonts w:ascii="Segoe UI" w:eastAsia="Times New Roman" w:hAnsi="Segoe UI" w:cs="Segoe UI"/>
          <w:i/>
          <w:iCs/>
          <w:sz w:val="27"/>
          <w:szCs w:val="27"/>
          <w:lang w:eastAsia="fr-FR"/>
        </w:rPr>
        <w:t xml:space="preserve"> Limited doit être regardée comme ayant disposé à tout le moins, de 2009 à 2011, d'une installation fixe d'affaire en France sur le lieu du chantier de l'EPR de Flamanville</w:t>
      </w:r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>". La société chypriote "</w:t>
      </w:r>
      <w:r w:rsidRPr="006E015D">
        <w:rPr>
          <w:rFonts w:ascii="Segoe UI" w:eastAsia="Times New Roman" w:hAnsi="Segoe UI" w:cs="Segoe UI"/>
          <w:i/>
          <w:iCs/>
          <w:sz w:val="27"/>
          <w:szCs w:val="27"/>
          <w:lang w:eastAsia="fr-FR"/>
        </w:rPr>
        <w:t>a mis au service du donneur d'ordre une équipe structurée de personnels du bâtiment</w:t>
      </w:r>
      <w:r w:rsidRPr="006E015D">
        <w:rPr>
          <w:rFonts w:ascii="Segoe UI" w:eastAsia="Times New Roman" w:hAnsi="Segoe UI" w:cs="Segoe UI"/>
          <w:sz w:val="27"/>
          <w:szCs w:val="27"/>
          <w:lang w:eastAsia="fr-FR"/>
        </w:rPr>
        <w:t>", souligne la cour. Le chantier employait alors environ 3.000 personnes.</w:t>
      </w:r>
    </w:p>
    <w:p w14:paraId="700F2E00" w14:textId="77777777" w:rsidR="00BD5DD7" w:rsidRDefault="00BD5DD7"/>
    <w:sectPr w:rsidR="00BD5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5D"/>
    <w:rsid w:val="003D7CC5"/>
    <w:rsid w:val="006E015D"/>
    <w:rsid w:val="00BD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87FC"/>
  <w15:chartTrackingRefBased/>
  <w15:docId w15:val="{B607B223-2B9F-4396-9334-5B0AC073A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6E01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015D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separator">
    <w:name w:val="separator"/>
    <w:basedOn w:val="Policepardfaut"/>
    <w:rsid w:val="006E015D"/>
  </w:style>
  <w:style w:type="character" w:styleId="Lienhypertexte">
    <w:name w:val="Hyperlink"/>
    <w:basedOn w:val="Policepardfaut"/>
    <w:uiPriority w:val="99"/>
    <w:semiHidden/>
    <w:unhideWhenUsed/>
    <w:rsid w:val="006E015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E0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6E01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21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33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203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595483">
          <w:marLeft w:val="-240"/>
          <w:marRight w:val="-24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416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ance3-regions.francetvinfo.fr/normandie/manche/cherbourg-cotentin/travail-au-noir-chantier-epr-amende-bouygues-alourdie-appel-1218165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rance3-regions.francetvinfo.fr/normandie/2015/03/10/epr-bouygues-et-deux-sous-traitants-devant-la-justice-pour-travail-dissimule-de-460-ouvriers-671599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rance3-regions.francetvinfo.fr/normandie/manche/flamanville" TargetMode="External"/><Relationship Id="rId5" Type="http://schemas.openxmlformats.org/officeDocument/2006/relationships/hyperlink" Target="https://france3-regions.francetvinfo.fr/normandie/manch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452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De Froment</dc:creator>
  <cp:keywords/>
  <dc:description/>
  <cp:lastModifiedBy>René De Froment</cp:lastModifiedBy>
  <cp:revision>1</cp:revision>
  <dcterms:created xsi:type="dcterms:W3CDTF">2021-10-29T08:19:00Z</dcterms:created>
  <dcterms:modified xsi:type="dcterms:W3CDTF">2021-10-29T10:09:00Z</dcterms:modified>
</cp:coreProperties>
</file>